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348" w:type="dxa"/>
        <w:tblLook w:val="04A0" w:firstRow="1" w:lastRow="0" w:firstColumn="1" w:lastColumn="0" w:noHBand="0" w:noVBand="1"/>
      </w:tblPr>
      <w:tblGrid>
        <w:gridCol w:w="348"/>
        <w:gridCol w:w="4219"/>
        <w:gridCol w:w="485"/>
        <w:gridCol w:w="5327"/>
      </w:tblGrid>
      <w:tr w:rsidR="00543317" w:rsidTr="00F044F6">
        <w:tc>
          <w:tcPr>
            <w:tcW w:w="5052" w:type="dxa"/>
            <w:gridSpan w:val="3"/>
            <w:shd w:val="clear" w:color="auto" w:fill="auto"/>
          </w:tcPr>
          <w:p w:rsidR="000E4061" w:rsidRDefault="000E4061" w:rsidP="00132163">
            <w:pPr>
              <w:jc w:val="right"/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27" w:type="dxa"/>
            <w:shd w:val="clear" w:color="auto" w:fill="auto"/>
          </w:tcPr>
          <w:p w:rsidR="000E4061" w:rsidRDefault="00BB1B43" w:rsidP="00132163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</w:rPr>
              <w:t>Mẫu số: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="00CE6A41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THADS</w:t>
            </w:r>
          </w:p>
          <w:p w:rsidR="000E4061" w:rsidRDefault="00BB1B43" w:rsidP="0074219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hành theo </w:t>
            </w:r>
            <w:r w:rsidR="00F33D8A">
              <w:rPr>
                <w:i/>
                <w:color w:val="000000"/>
                <w:sz w:val="20"/>
                <w:szCs w:val="20"/>
              </w:rPr>
              <w:t xml:space="preserve">Thông tư số </w:t>
            </w:r>
            <w:r w:rsidR="00F044F6">
              <w:rPr>
                <w:i/>
                <w:color w:val="000000"/>
                <w:sz w:val="20"/>
                <w:szCs w:val="20"/>
              </w:rPr>
              <w:t>04 /2023/TT-BTP ngày 14/8/2023</w:t>
            </w:r>
            <w:r w:rsidR="00F33D8A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của Bộ Tư pháp)                                             </w:t>
            </w:r>
          </w:p>
        </w:tc>
      </w:tr>
      <w:tr w:rsidR="00543317" w:rsidTr="00F044F6">
        <w:tblPrEx>
          <w:tblLook w:val="01E0" w:firstRow="1" w:lastRow="1" w:firstColumn="1" w:lastColumn="1" w:noHBand="0" w:noVBand="0"/>
        </w:tblPrEx>
        <w:trPr>
          <w:gridBefore w:val="1"/>
          <w:wBefore w:w="348" w:type="dxa"/>
        </w:trPr>
        <w:tc>
          <w:tcPr>
            <w:tcW w:w="4219" w:type="dxa"/>
          </w:tcPr>
          <w:p w:rsidR="000E4061" w:rsidRDefault="00F044F6" w:rsidP="00132163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THADS TỈNH TIỀN GIANG</w:t>
            </w:r>
            <w:r w:rsidR="00BB1B43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0E4061" w:rsidRDefault="00BB1B43" w:rsidP="00132163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543317" w:rsidTr="00F044F6">
        <w:tblPrEx>
          <w:tblLook w:val="01E0" w:firstRow="1" w:lastRow="1" w:firstColumn="1" w:lastColumn="1" w:noHBand="0" w:noVBand="0"/>
        </w:tblPrEx>
        <w:trPr>
          <w:gridBefore w:val="1"/>
          <w:wBefore w:w="348" w:type="dxa"/>
        </w:trPr>
        <w:tc>
          <w:tcPr>
            <w:tcW w:w="4219" w:type="dxa"/>
          </w:tcPr>
          <w:p w:rsidR="00F044F6" w:rsidRDefault="00F044F6" w:rsidP="00132163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CHI CỤC THI HÀNH ÁN DÂN SỰ </w:t>
            </w:r>
          </w:p>
          <w:p w:rsidR="000E4061" w:rsidRPr="00F044F6" w:rsidRDefault="00F044F6" w:rsidP="00F044F6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HUYỆN GÒ CÔNG TÂY</w:t>
            </w:r>
            <w:r w:rsidR="00BB1B43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0E4061" w:rsidRDefault="00E36E7B" w:rsidP="0013216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232410</wp:posOffset>
                      </wp:positionV>
                      <wp:extent cx="1943100" cy="0"/>
                      <wp:effectExtent l="13970" t="13335" r="508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18.3pt" to="20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6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smU+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4TCdO3AAAAAkBAAAPAAAAZHJzL2Rvd25yZXYueG1sTI/NTsNADITvSLzDykhcKrr5QVEJ&#10;2VQIyI0LhYqrm5gkIutNs9s28PQYcYDjjD+NZ4r1bAd1pMn3jg3EywgUce2anlsDry/V1QqUD8gN&#10;Do7JwCd5WJfnZwXmjTvxMx03oVUSwj5HA10IY661rzuy6JduJJbbu5ssBpFTq5sJTxJuB51EUaYt&#10;9iwfOhzpvqP6Y3OwBny1pX31tagX0VvaOkr2D0+PaMzlxXx3CyrQHP5g+Kkv1aGUTjt34MarQXSc&#10;JoIaSLMMlADX8Y0Yu19Dl4X+v6D8BgAA//8DAFBLAQItABQABgAIAAAAIQC2gziS/gAAAOEBAAAT&#10;AAAAAAAAAAAAAAAAAAAAAABbQ29udGVudF9UeXBlc10ueG1sUEsBAi0AFAAGAAgAAAAhADj9If/W&#10;AAAAlAEAAAsAAAAAAAAAAAAAAAAALwEAAF9yZWxzLy5yZWxzUEsBAi0AFAAGAAgAAAAhAJzZnpAR&#10;AgAAKAQAAA4AAAAAAAAAAAAAAAAALgIAAGRycy9lMm9Eb2MueG1sUEsBAi0AFAAGAAgAAAAhAPhM&#10;J07cAAAACQEAAA8AAAAAAAAAAAAAAAAAawQAAGRycy9kb3ducmV2LnhtbFBLBQYAAAAABAAEAPMA&#10;AAB0BQAAAAA=&#10;"/>
                  </w:pict>
                </mc:Fallback>
              </mc:AlternateContent>
            </w:r>
            <w:r w:rsidR="00BB1B43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43317" w:rsidTr="00F044F6">
        <w:tblPrEx>
          <w:tblLook w:val="01E0" w:firstRow="1" w:lastRow="1" w:firstColumn="1" w:lastColumn="1" w:noHBand="0" w:noVBand="0"/>
        </w:tblPrEx>
        <w:trPr>
          <w:gridBefore w:val="1"/>
          <w:wBefore w:w="348" w:type="dxa"/>
        </w:trPr>
        <w:tc>
          <w:tcPr>
            <w:tcW w:w="4219" w:type="dxa"/>
          </w:tcPr>
          <w:p w:rsidR="000E4061" w:rsidRDefault="00E36E7B" w:rsidP="0013216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FIEAIAACk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GCnS&#10;g0QboTjKQ2cG40oIqNXWhtroST2bjaY/HFK67oja88jw5WwgLQsZyZuUsHEG8HfDV80ghhy8jm06&#10;tbYPkNAAdIpqnG9q8JNHFA6zrLhLUxCNjr6ElGOisc5/4bpHwaiwBM4RmBw3zgcipBxDwj1Kr4WU&#10;UWyp0ADg+T1AB5fTUrDgjRu739XSoiMJ8xK/WNa7MKsPikW0jhO2utqeCHmx4XapAh7UAnyu1mUg&#10;fj6kD6v5al5Miny2mhRp00w+r+tiMltn95+au6aum+xXoJYVZScY4yqwG4czK/5O/OszuYzVbTxv&#10;fUjeoseGAdnxH0lHMYN+l0nYaXbe2lFkmMcYfH07YeBf78F+/cKXvwEAAP//AwBQSwMEFAAGAAgA&#10;AAAhADUXmNbaAAAABwEAAA8AAABkcnMvZG93bnJldi54bWxMjsFOwzAQRO9I/IO1SNyo04DASuNU&#10;CFRVIC5tkXp14yUOxOs0dtvw92y5wPFpRjOvnI++E0ccYhtIw3SSgUCqg22p0fC+WdwoEDEZsqYL&#10;hBq+McK8urwoTWHDiVZ4XKdG8AjFwmhwKfWFlLF26E2chB6Js48weJMYh0bawZx43Hcyz7J76U1L&#10;/OBMj08O66/1wWswz8tV2qr89aF9cW+fm8V+6dRe6+ur8XEGIuGY/spw1md1qNhpFw5ko+iYM3XL&#10;VQ13UxCc5+rMu1+WVSn/+1c/AAAA//8DAFBLAQItABQABgAIAAAAIQC2gziS/gAAAOEBAAATAAAA&#10;AAAAAAAAAAAAAAAAAABbQ29udGVudF9UeXBlc10ueG1sUEsBAi0AFAAGAAgAAAAhADj9If/WAAAA&#10;lAEAAAsAAAAAAAAAAAAAAAAALwEAAF9yZWxzLy5yZWxzUEsBAi0AFAAGAAgAAAAhAPPbcUgQAgAA&#10;KQQAAA4AAAAAAAAAAAAAAAAALgIAAGRycy9lMm9Eb2MueG1sUEsBAi0AFAAGAAgAAAAhADUXmNba&#10;AAAABwEAAA8AAAAAAAAAAAAAAAAAagQAAGRycy9kb3ducmV2LnhtbFBLBQYAAAAABAAEAPMAAABx&#10;BQAAAAA=&#10;" strokeweight="1pt"/>
                  </w:pict>
                </mc:Fallback>
              </mc:AlternateContent>
            </w:r>
          </w:p>
        </w:tc>
        <w:tc>
          <w:tcPr>
            <w:tcW w:w="5812" w:type="dxa"/>
            <w:gridSpan w:val="2"/>
          </w:tcPr>
          <w:p w:rsidR="000E4061" w:rsidRDefault="000E4061" w:rsidP="0013216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43317" w:rsidTr="00F044F6">
        <w:tblPrEx>
          <w:tblLook w:val="01E0" w:firstRow="1" w:lastRow="1" w:firstColumn="1" w:lastColumn="1" w:noHBand="0" w:noVBand="0"/>
        </w:tblPrEx>
        <w:trPr>
          <w:gridBefore w:val="1"/>
          <w:wBefore w:w="348" w:type="dxa"/>
        </w:trPr>
        <w:tc>
          <w:tcPr>
            <w:tcW w:w="4219" w:type="dxa"/>
          </w:tcPr>
          <w:p w:rsidR="000E4061" w:rsidRDefault="00C21DAA" w:rsidP="0074219B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347264">
              <w:rPr>
                <w:color w:val="000000"/>
                <w:sz w:val="26"/>
                <w:szCs w:val="26"/>
                <w:lang w:val="nl-NL"/>
              </w:rPr>
              <w:t>67</w:t>
            </w:r>
            <w:r w:rsidR="00BB1B43">
              <w:rPr>
                <w:color w:val="000000"/>
                <w:sz w:val="26"/>
                <w:szCs w:val="26"/>
                <w:lang w:val="nl-NL"/>
              </w:rPr>
              <w:t>/TB-</w:t>
            </w:r>
            <w:r w:rsidR="00F044F6">
              <w:rPr>
                <w:color w:val="000000"/>
                <w:sz w:val="26"/>
                <w:szCs w:val="26"/>
                <w:lang w:val="nl-NL"/>
              </w:rPr>
              <w:t>CC</w:t>
            </w:r>
            <w:r w:rsidR="00BB1B43">
              <w:rPr>
                <w:color w:val="000000"/>
                <w:sz w:val="26"/>
                <w:szCs w:val="26"/>
                <w:lang w:val="nl-NL"/>
              </w:rPr>
              <w:t>THADS</w:t>
            </w:r>
          </w:p>
        </w:tc>
        <w:tc>
          <w:tcPr>
            <w:tcW w:w="5812" w:type="dxa"/>
            <w:gridSpan w:val="2"/>
          </w:tcPr>
          <w:p w:rsidR="000E4061" w:rsidRDefault="00F044F6" w:rsidP="0074219B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Gò Công Tây</w:t>
            </w:r>
            <w:r w:rsidR="00BB1B43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4219B">
              <w:rPr>
                <w:i/>
                <w:color w:val="000000"/>
                <w:sz w:val="26"/>
                <w:szCs w:val="26"/>
                <w:lang w:val="nl-NL"/>
              </w:rPr>
              <w:t>18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BB1B43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6A7758">
              <w:rPr>
                <w:i/>
                <w:color w:val="000000"/>
                <w:sz w:val="26"/>
                <w:szCs w:val="26"/>
                <w:lang w:val="nl-NL"/>
              </w:rPr>
              <w:t>12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BB1B43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:rsidR="000E4061" w:rsidRDefault="000E4061" w:rsidP="000E4061">
      <w:pPr>
        <w:jc w:val="center"/>
        <w:rPr>
          <w:b/>
          <w:color w:val="000000"/>
          <w:sz w:val="28"/>
          <w:szCs w:val="28"/>
        </w:rPr>
      </w:pPr>
    </w:p>
    <w:p w:rsidR="000E4061" w:rsidRDefault="00BB1B43" w:rsidP="000E40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0E4061" w:rsidRDefault="00BB1B43" w:rsidP="000E40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  <w:r>
        <w:rPr>
          <w:b/>
          <w:color w:val="000000"/>
          <w:sz w:val="28"/>
          <w:szCs w:val="28"/>
        </w:rPr>
        <w:t xml:space="preserve">  </w:t>
      </w:r>
    </w:p>
    <w:p w:rsidR="000E4061" w:rsidRDefault="00E36E7B" w:rsidP="000E4061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76200</wp:posOffset>
                </wp:positionV>
                <wp:extent cx="1068705" cy="0"/>
                <wp:effectExtent l="12700" t="9525" r="1397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7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s/pl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ObGz9t0AAAAJAQAADwAAAGRycy9kb3ducmV2LnhtbEyPzU7DQAyE70i8w8pIXKp2Q1J+&#10;FLKpEJAbFwoVVzdrkoisN81u28DTY8QBTpY9o/E3xWpyvTrQGDrPBi4WCSji2tuOGwOvL9X8BlSI&#10;yBZ7z2TgkwKsytOTAnPrj/xMh3VslIRwyNFAG+OQax3qlhyGhR+IRXv3o8Mo69hoO+JRwl2v0yS5&#10;0g47lg8tDnTfUv2x3jsDodrQrvqa1bPkLWs8pbuHp0c05vxsursFFWmKf2b4wRd0KIVp6/dsg+oN&#10;ZNdL6RJFSGWK4XKZZqC2vwddFvp/g/IbAAD//wMAUEsBAi0AFAAGAAgAAAAhALaDOJL+AAAA4QEA&#10;ABMAAAAAAAAAAAAAAAAAAAAAAFtDb250ZW50X1R5cGVzXS54bWxQSwECLQAUAAYACAAAACEAOP0h&#10;/9YAAACUAQAACwAAAAAAAAAAAAAAAAAvAQAAX3JlbHMvLnJlbHNQSwECLQAUAAYACAAAACEAiYve&#10;9xICAAAoBAAADgAAAAAAAAAAAAAAAAAuAgAAZHJzL2Uyb0RvYy54bWxQSwECLQAUAAYACAAAACEA&#10;ObGz9t0AAAAJAQAADwAAAAAAAAAAAAAAAABsBAAAZHJzL2Rvd25yZXYueG1sUEsFBgAAAAAEAAQA&#10;8wAAAHYFAAAAAA==&#10;"/>
            </w:pict>
          </mc:Fallback>
        </mc:AlternateContent>
      </w:r>
      <w:r w:rsidR="00BB1B43">
        <w:rPr>
          <w:color w:val="000000"/>
          <w:sz w:val="28"/>
          <w:szCs w:val="28"/>
        </w:rPr>
        <w:tab/>
      </w:r>
      <w:r w:rsidR="00BB1B43">
        <w:rPr>
          <w:color w:val="000000"/>
          <w:sz w:val="28"/>
          <w:szCs w:val="28"/>
        </w:rPr>
        <w:tab/>
      </w:r>
      <w:r w:rsidR="00BB1B43">
        <w:rPr>
          <w:bCs/>
          <w:i/>
          <w:color w:val="000000"/>
          <w:sz w:val="28"/>
          <w:szCs w:val="28"/>
        </w:rPr>
        <w:t xml:space="preserve">   </w:t>
      </w:r>
    </w:p>
    <w:p w:rsidR="003159F9" w:rsidRDefault="00BB1B43" w:rsidP="00B20C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E4061" w:rsidRDefault="00BB1B43" w:rsidP="00F64CCA">
      <w:pPr>
        <w:spacing w:before="60"/>
        <w:ind w:firstLine="720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  <w:lang w:val="vi-VN"/>
        </w:rPr>
        <w:t>điểm</w:t>
      </w:r>
      <w:r w:rsidR="00F044F6">
        <w:rPr>
          <w:i/>
          <w:color w:val="000000"/>
          <w:sz w:val="28"/>
          <w:szCs w:val="28"/>
        </w:rPr>
        <w:t xml:space="preserve"> a </w:t>
      </w:r>
      <w:r>
        <w:rPr>
          <w:i/>
          <w:color w:val="000000"/>
          <w:sz w:val="28"/>
          <w:szCs w:val="28"/>
        </w:rPr>
        <w:t xml:space="preserve">khoản 2 Điều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Luật Thi hành án dân sự</w:t>
      </w:r>
      <w:r w:rsidR="00F044F6">
        <w:rPr>
          <w:i/>
          <w:color w:val="000000"/>
          <w:sz w:val="28"/>
          <w:szCs w:val="28"/>
        </w:rPr>
        <w:t xml:space="preserve"> năm 2008 được sửa đổi, bổ sung năm 2014, năm 2022</w:t>
      </w:r>
      <w:r>
        <w:rPr>
          <w:i/>
          <w:color w:val="000000"/>
          <w:sz w:val="28"/>
          <w:szCs w:val="28"/>
          <w:lang w:val="vi-VN"/>
        </w:rPr>
        <w:t>;</w:t>
      </w:r>
    </w:p>
    <w:p w:rsidR="002C5E34" w:rsidRDefault="00BB1B43" w:rsidP="00F64CCA">
      <w:pPr>
        <w:spacing w:before="60"/>
        <w:ind w:firstLine="35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6A7758">
        <w:rPr>
          <w:i/>
          <w:color w:val="000000"/>
          <w:sz w:val="28"/>
          <w:szCs w:val="28"/>
        </w:rPr>
        <w:t xml:space="preserve">Căn cứ Bản án số 109/2024/DS-PT ngày 19 tháng 02 năm 2024 </w:t>
      </w:r>
      <w:r w:rsidR="006A7758">
        <w:rPr>
          <w:i/>
          <w:color w:val="000000"/>
          <w:sz w:val="28"/>
          <w:szCs w:val="28"/>
          <w:lang w:val="nl-NL"/>
        </w:rPr>
        <w:t>của Toà án nhân dân tỉnh Tiền Giang</w:t>
      </w:r>
      <w:r w:rsidR="002C5E34">
        <w:rPr>
          <w:i/>
          <w:color w:val="000000"/>
          <w:sz w:val="28"/>
          <w:szCs w:val="28"/>
          <w:lang w:val="nl-NL"/>
        </w:rPr>
        <w:t>;</w:t>
      </w:r>
      <w:r w:rsidR="002C5E34">
        <w:rPr>
          <w:i/>
          <w:color w:val="000000"/>
          <w:sz w:val="28"/>
          <w:szCs w:val="28"/>
        </w:rPr>
        <w:t xml:space="preserve">  </w:t>
      </w:r>
    </w:p>
    <w:p w:rsidR="002C5E34" w:rsidRDefault="002C5E34" w:rsidP="00F64CCA">
      <w:pPr>
        <w:spacing w:before="60"/>
        <w:ind w:firstLine="35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 xml:space="preserve">     </w:t>
      </w:r>
      <w:r w:rsidR="006A7758">
        <w:rPr>
          <w:i/>
          <w:color w:val="000000"/>
          <w:sz w:val="28"/>
          <w:szCs w:val="28"/>
        </w:rPr>
        <w:t>Căn cứ Quyết định thi hành án số 289/QĐ-CCTHADS ngày 11 tháng 4 năm 2024 của Chi cục trưởng Chi cục Thi hành án dân sự</w:t>
      </w:r>
      <w:r w:rsidR="006A7758">
        <w:rPr>
          <w:i/>
          <w:color w:val="000000"/>
          <w:sz w:val="28"/>
          <w:szCs w:val="28"/>
          <w:lang w:val="nl-NL"/>
        </w:rPr>
        <w:t xml:space="preserve"> huyện Gò Công Tây</w:t>
      </w:r>
      <w:r>
        <w:rPr>
          <w:i/>
          <w:color w:val="000000"/>
          <w:sz w:val="28"/>
          <w:szCs w:val="28"/>
          <w:lang w:val="nl-NL"/>
        </w:rPr>
        <w:t>;</w:t>
      </w:r>
    </w:p>
    <w:p w:rsidR="002C5E34" w:rsidRDefault="002C5E34" w:rsidP="00F64CCA">
      <w:pPr>
        <w:spacing w:before="6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Căn cứ Quyết định cưỡng chế thi hành án số </w:t>
      </w:r>
      <w:r w:rsidR="006A7758">
        <w:rPr>
          <w:i/>
          <w:color w:val="000000"/>
          <w:sz w:val="28"/>
          <w:szCs w:val="28"/>
        </w:rPr>
        <w:t>06</w:t>
      </w:r>
      <w:r>
        <w:rPr>
          <w:i/>
          <w:color w:val="000000"/>
          <w:sz w:val="28"/>
          <w:szCs w:val="28"/>
        </w:rPr>
        <w:t xml:space="preserve">/QĐ-CCTHASDS ngày </w:t>
      </w:r>
      <w:r w:rsidR="006A7758">
        <w:rPr>
          <w:i/>
          <w:color w:val="000000"/>
          <w:sz w:val="28"/>
          <w:szCs w:val="28"/>
        </w:rPr>
        <w:t>28</w:t>
      </w:r>
      <w:r>
        <w:rPr>
          <w:i/>
          <w:color w:val="000000"/>
          <w:sz w:val="28"/>
          <w:szCs w:val="28"/>
        </w:rPr>
        <w:t xml:space="preserve"> tháng </w:t>
      </w:r>
      <w:r w:rsidR="006A7758">
        <w:rPr>
          <w:i/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</w:rPr>
        <w:t xml:space="preserve"> năm 2024 của Chấp hành viên Chi cục Thi hành án dân sự huyện Gò Công Tây,</w:t>
      </w:r>
    </w:p>
    <w:p w:rsidR="000E4061" w:rsidRPr="00351C29" w:rsidRDefault="00FF73A7" w:rsidP="00F64CCA">
      <w:pPr>
        <w:spacing w:before="60"/>
        <w:ind w:firstLine="720"/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Do</w:t>
      </w:r>
      <w:r w:rsidR="00FE579A">
        <w:rPr>
          <w:i/>
          <w:color w:val="000000"/>
          <w:sz w:val="28"/>
          <w:szCs w:val="28"/>
        </w:rPr>
        <w:t xml:space="preserve"> </w:t>
      </w:r>
      <w:r w:rsidR="00FE579A" w:rsidRPr="00FE579A">
        <w:rPr>
          <w:color w:val="000000"/>
          <w:sz w:val="28"/>
          <w:szCs w:val="28"/>
        </w:rPr>
        <w:t>đương sự không có thoả thuận về giá</w:t>
      </w:r>
      <w:r w:rsidR="00FE579A">
        <w:rPr>
          <w:i/>
          <w:color w:val="000000"/>
          <w:sz w:val="28"/>
          <w:szCs w:val="28"/>
        </w:rPr>
        <w:t xml:space="preserve"> </w:t>
      </w:r>
      <w:r w:rsidR="00FE579A" w:rsidRPr="00FE579A">
        <w:rPr>
          <w:color w:val="000000"/>
          <w:sz w:val="28"/>
          <w:szCs w:val="28"/>
        </w:rPr>
        <w:t>và</w:t>
      </w:r>
      <w:r w:rsidR="00FE579A">
        <w:rPr>
          <w:i/>
          <w:color w:val="000000"/>
          <w:sz w:val="28"/>
          <w:szCs w:val="28"/>
        </w:rPr>
        <w:t xml:space="preserve"> </w:t>
      </w:r>
      <w:r w:rsidR="00FE579A" w:rsidRPr="00FE579A">
        <w:rPr>
          <w:color w:val="000000"/>
          <w:sz w:val="28"/>
          <w:szCs w:val="28"/>
        </w:rPr>
        <w:t>lựa chọn tổ chức thẩm định giá</w:t>
      </w:r>
      <w:r w:rsidR="00FE579A">
        <w:rPr>
          <w:i/>
          <w:color w:val="000000"/>
          <w:sz w:val="28"/>
          <w:szCs w:val="28"/>
        </w:rPr>
        <w:t xml:space="preserve">, </w:t>
      </w:r>
      <w:r w:rsidR="00FE579A">
        <w:rPr>
          <w:color w:val="000000"/>
          <w:sz w:val="28"/>
          <w:szCs w:val="28"/>
          <w:lang w:val="nl-NL"/>
        </w:rPr>
        <w:t xml:space="preserve">Chấp hành viên Chi cục </w:t>
      </w:r>
      <w:r w:rsidR="000E4061">
        <w:rPr>
          <w:color w:val="000000"/>
          <w:sz w:val="28"/>
          <w:szCs w:val="28"/>
          <w:lang w:val="nl-NL"/>
        </w:rPr>
        <w:t xml:space="preserve">Thi hành án dân sự </w:t>
      </w:r>
      <w:r w:rsidR="00351C29" w:rsidRPr="00351C29">
        <w:rPr>
          <w:color w:val="000000"/>
          <w:sz w:val="28"/>
          <w:szCs w:val="28"/>
          <w:lang w:val="nl-NL"/>
        </w:rPr>
        <w:t>huyện Gò Công Tây</w:t>
      </w:r>
      <w:r w:rsidR="00351C29">
        <w:rPr>
          <w:color w:val="000000"/>
          <w:sz w:val="28"/>
          <w:szCs w:val="28"/>
          <w:lang w:val="nl-NL"/>
        </w:rPr>
        <w:t>,</w:t>
      </w:r>
      <w:r w:rsidR="00BB1B43">
        <w:rPr>
          <w:color w:val="000000"/>
          <w:sz w:val="28"/>
          <w:szCs w:val="28"/>
          <w:lang w:val="nl-NL"/>
        </w:rPr>
        <w:t xml:space="preserve"> địa chỉ</w:t>
      </w:r>
      <w:r w:rsidR="001E76E8">
        <w:rPr>
          <w:color w:val="000000"/>
          <w:sz w:val="28"/>
          <w:szCs w:val="28"/>
          <w:lang w:val="nl-NL"/>
        </w:rPr>
        <w:t>:</w:t>
      </w:r>
      <w:r w:rsidR="00BB1B43">
        <w:rPr>
          <w:color w:val="000000"/>
          <w:sz w:val="28"/>
          <w:szCs w:val="28"/>
          <w:lang w:val="nl-NL"/>
        </w:rPr>
        <w:t xml:space="preserve"> </w:t>
      </w:r>
      <w:r w:rsidR="00351C29">
        <w:rPr>
          <w:color w:val="000000"/>
          <w:sz w:val="28"/>
          <w:szCs w:val="28"/>
          <w:lang w:val="nl-NL"/>
        </w:rPr>
        <w:t>đường Nguyễn Văn Côn, khu phố 4</w:t>
      </w:r>
      <w:r w:rsidR="001E76E8">
        <w:rPr>
          <w:color w:val="000000"/>
          <w:sz w:val="28"/>
          <w:szCs w:val="28"/>
          <w:lang w:val="nl-NL"/>
        </w:rPr>
        <w:t>, thị trấn Vĩnh Bình, huyện Gò C</w:t>
      </w:r>
      <w:r w:rsidR="00351C29">
        <w:rPr>
          <w:color w:val="000000"/>
          <w:sz w:val="28"/>
          <w:szCs w:val="28"/>
          <w:lang w:val="nl-NL"/>
        </w:rPr>
        <w:t>ông Tây, tỉnh Tiền Giang</w:t>
      </w:r>
      <w:r w:rsidR="00351C29">
        <w:rPr>
          <w:i/>
          <w:color w:val="000000"/>
          <w:sz w:val="28"/>
          <w:szCs w:val="28"/>
        </w:rPr>
        <w:t xml:space="preserve"> </w:t>
      </w:r>
      <w:r w:rsidR="00BB1B43">
        <w:rPr>
          <w:color w:val="000000"/>
          <w:sz w:val="28"/>
          <w:szCs w:val="28"/>
          <w:lang w:val="vi-VN"/>
        </w:rPr>
        <w:t xml:space="preserve">cần </w:t>
      </w:r>
      <w:r w:rsidR="00BB1B43">
        <w:rPr>
          <w:color w:val="000000"/>
          <w:sz w:val="28"/>
          <w:szCs w:val="28"/>
          <w:lang w:val="nl-NL"/>
        </w:rPr>
        <w:t xml:space="preserve">lựa chọn tổ chức </w:t>
      </w:r>
      <w:r w:rsidR="00BB1B43">
        <w:rPr>
          <w:color w:val="000000"/>
          <w:sz w:val="28"/>
          <w:szCs w:val="28"/>
          <w:lang w:val="vi-VN"/>
        </w:rPr>
        <w:t xml:space="preserve">thẩm định </w:t>
      </w:r>
      <w:r w:rsidR="00BB1B43">
        <w:rPr>
          <w:color w:val="000000"/>
          <w:sz w:val="28"/>
          <w:szCs w:val="28"/>
          <w:lang w:val="nl-NL"/>
        </w:rPr>
        <w:t>giá</w:t>
      </w:r>
      <w:r w:rsidR="00BB1B43">
        <w:rPr>
          <w:color w:val="000000"/>
          <w:sz w:val="28"/>
          <w:szCs w:val="28"/>
          <w:lang w:val="vi-VN"/>
        </w:rPr>
        <w:t xml:space="preserve"> đ</w:t>
      </w:r>
      <w:r w:rsidR="00BB1B43">
        <w:rPr>
          <w:color w:val="000000"/>
          <w:sz w:val="28"/>
          <w:szCs w:val="28"/>
          <w:lang w:val="nl-NL"/>
        </w:rPr>
        <w:t xml:space="preserve">ể ký hợp đồng dịch </w:t>
      </w:r>
      <w:r w:rsidR="00BB1B43">
        <w:rPr>
          <w:color w:val="000000"/>
          <w:sz w:val="28"/>
          <w:szCs w:val="28"/>
          <w:lang w:val="vi-VN"/>
        </w:rPr>
        <w:t xml:space="preserve">vụ thẩm định </w:t>
      </w:r>
      <w:r w:rsidR="00BB1B43">
        <w:rPr>
          <w:color w:val="000000"/>
          <w:sz w:val="28"/>
          <w:szCs w:val="28"/>
          <w:lang w:val="nl-NL"/>
        </w:rPr>
        <w:t xml:space="preserve">giá các tài sản đã kê biên </w:t>
      </w:r>
      <w:r w:rsidR="00BB1B43">
        <w:rPr>
          <w:color w:val="000000"/>
          <w:sz w:val="28"/>
          <w:szCs w:val="28"/>
          <w:lang w:val="vi-VN"/>
        </w:rPr>
        <w:t>để bảo đảm thi hành án</w:t>
      </w:r>
      <w:r w:rsidR="00CE6A41">
        <w:rPr>
          <w:color w:val="000000"/>
          <w:sz w:val="28"/>
          <w:szCs w:val="28"/>
          <w:lang w:val="vi-VN"/>
        </w:rPr>
        <w:t>, như sau</w:t>
      </w:r>
      <w:r w:rsidR="00BB1B43">
        <w:rPr>
          <w:color w:val="000000"/>
          <w:sz w:val="28"/>
          <w:szCs w:val="28"/>
          <w:lang w:val="nl-NL"/>
        </w:rPr>
        <w:t>:</w:t>
      </w:r>
    </w:p>
    <w:p w:rsidR="006A7758" w:rsidRDefault="006A7758" w:rsidP="006A7758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>1/. Q</w:t>
      </w:r>
      <w:r w:rsidRPr="005650D2">
        <w:rPr>
          <w:sz w:val="28"/>
          <w:szCs w:val="28"/>
        </w:rPr>
        <w:t xml:space="preserve">uyền sử dụng đất </w:t>
      </w:r>
      <w:r>
        <w:rPr>
          <w:sz w:val="28"/>
          <w:szCs w:val="28"/>
        </w:rPr>
        <w:t xml:space="preserve">thuộc thửa đất số 699, tờ bản đồ số 16, </w:t>
      </w:r>
      <w:r w:rsidRPr="005650D2">
        <w:rPr>
          <w:sz w:val="28"/>
          <w:szCs w:val="28"/>
        </w:rPr>
        <w:t xml:space="preserve">diện tích </w:t>
      </w:r>
      <w:r>
        <w:rPr>
          <w:sz w:val="28"/>
          <w:szCs w:val="28"/>
        </w:rPr>
        <w:t>221,5</w:t>
      </w:r>
      <w:r w:rsidRPr="005650D2">
        <w:rPr>
          <w:sz w:val="28"/>
          <w:szCs w:val="28"/>
        </w:rPr>
        <w:t>m</w:t>
      </w:r>
      <w:r w:rsidRPr="005650D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mục đích sử dụng: đất ở nông thôn 200</w:t>
      </w:r>
      <w:r w:rsidRPr="005650D2">
        <w:rPr>
          <w:sz w:val="28"/>
          <w:szCs w:val="28"/>
        </w:rPr>
        <w:t xml:space="preserve"> m</w:t>
      </w:r>
      <w:r w:rsidRPr="005650D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và </w:t>
      </w:r>
      <w:r w:rsidRPr="005650D2">
        <w:rPr>
          <w:sz w:val="28"/>
          <w:szCs w:val="28"/>
        </w:rPr>
        <w:t xml:space="preserve">đất trồng cây lâu năm </w:t>
      </w:r>
      <w:r>
        <w:rPr>
          <w:sz w:val="28"/>
          <w:szCs w:val="28"/>
        </w:rPr>
        <w:t>21,5m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5650D2">
        <w:rPr>
          <w:sz w:val="28"/>
          <w:szCs w:val="28"/>
        </w:rPr>
        <w:t xml:space="preserve">theo giấy chứng nhận quyền sử dụng đất </w:t>
      </w:r>
      <w:r>
        <w:rPr>
          <w:sz w:val="28"/>
          <w:szCs w:val="28"/>
        </w:rPr>
        <w:t xml:space="preserve">quyền sở hữu nhà ở và tài sản khác gắn liền với đất </w:t>
      </w:r>
      <w:r w:rsidRPr="005650D2">
        <w:rPr>
          <w:sz w:val="28"/>
          <w:szCs w:val="28"/>
        </w:rPr>
        <w:t xml:space="preserve">số </w:t>
      </w:r>
      <w:r>
        <w:rPr>
          <w:sz w:val="28"/>
          <w:szCs w:val="28"/>
        </w:rPr>
        <w:t>vào sổ CS06969</w:t>
      </w:r>
      <w:r w:rsidRPr="005650D2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Sở Tài nguyên và Môi Trường tỉnh Tiền Giang cấp ngày 01/10/2018. </w:t>
      </w:r>
    </w:p>
    <w:p w:rsidR="006A7758" w:rsidRDefault="006A7758" w:rsidP="006A77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2/. Tài sản gắn liền với đất:</w:t>
      </w:r>
    </w:p>
    <w:p w:rsidR="006A7758" w:rsidRDefault="006A7758" w:rsidP="00F64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- 01 (một ) căn nhà cấp 4, dạng trệt, móng + cột + kèo bằng bê tông cốt thép, vách xây gạch có ốp gạch ceramic 250x400, mái lợp tole xi măng; nên xi măng, lót gạch ceramic 600 x 600, cửa đi chính bằng gỗ qui cách. Diện tích nhà 196,1m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A7758" w:rsidRDefault="006A7758" w:rsidP="00F64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Mái che: cột thép, kèo thép, mái lợp tole tráng kẽm, nền xi măng , lót gạch ceramic </w:t>
      </w:r>
      <w:r w:rsidR="00F64CCA">
        <w:rPr>
          <w:sz w:val="28"/>
          <w:szCs w:val="28"/>
        </w:rPr>
        <w:t>400x4000, không vách, diện tích 46,4m</w:t>
      </w:r>
      <w:r w:rsidR="00F64CCA">
        <w:rPr>
          <w:sz w:val="28"/>
          <w:szCs w:val="28"/>
          <w:vertAlign w:val="superscript"/>
        </w:rPr>
        <w:t>2</w:t>
      </w:r>
      <w:r w:rsidR="00F64CCA">
        <w:rPr>
          <w:sz w:val="28"/>
          <w:szCs w:val="28"/>
        </w:rPr>
        <w:t>.</w:t>
      </w:r>
    </w:p>
    <w:p w:rsidR="00F64CCA" w:rsidRDefault="00F64CCA" w:rsidP="00F64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Hàng rào 1: móng cột bê tông cốt thép, vách xây gạch cao 0,5m, phía trên có song sắt bằng thép hộp, diện tích 20,9m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64CCA" w:rsidRDefault="00F64CCA" w:rsidP="00F64C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Hàng rào 2: móng cột bằng bê tông cốt thép, tường xây gạch không đóng cừ, diện tích 11,6m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64CCA" w:rsidRDefault="00F64CCA" w:rsidP="00F64C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Cổng trụ rào gạch xây 500x500 ốp gạch ceramic, cánh cổng bằng thép hộp, diện tích 8,87m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F64CCA" w:rsidRDefault="00F64CCA" w:rsidP="00F64CCA">
      <w:pPr>
        <w:jc w:val="both"/>
        <w:rPr>
          <w:sz w:val="28"/>
          <w:szCs w:val="28"/>
        </w:rPr>
      </w:pPr>
    </w:p>
    <w:p w:rsidR="00F64CCA" w:rsidRDefault="00F64CCA" w:rsidP="00F64CCA">
      <w:pPr>
        <w:jc w:val="both"/>
        <w:rPr>
          <w:sz w:val="28"/>
          <w:szCs w:val="28"/>
        </w:rPr>
      </w:pPr>
    </w:p>
    <w:p w:rsidR="00F64CCA" w:rsidRDefault="00F64CCA" w:rsidP="00F64CCA">
      <w:pPr>
        <w:jc w:val="both"/>
        <w:rPr>
          <w:sz w:val="28"/>
          <w:szCs w:val="28"/>
        </w:rPr>
      </w:pPr>
    </w:p>
    <w:p w:rsidR="00F64CCA" w:rsidRDefault="00F64CCA" w:rsidP="00F64CCA">
      <w:pPr>
        <w:jc w:val="both"/>
        <w:rPr>
          <w:sz w:val="28"/>
          <w:szCs w:val="28"/>
        </w:rPr>
      </w:pPr>
    </w:p>
    <w:p w:rsidR="00F64CCA" w:rsidRPr="00F64CCA" w:rsidRDefault="00F64CCA" w:rsidP="00F64CCA">
      <w:pPr>
        <w:jc w:val="both"/>
        <w:rPr>
          <w:sz w:val="28"/>
          <w:szCs w:val="28"/>
        </w:rPr>
      </w:pPr>
    </w:p>
    <w:p w:rsidR="00F64CCA" w:rsidRDefault="006A7758" w:rsidP="006A775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4CCA">
        <w:rPr>
          <w:sz w:val="28"/>
          <w:szCs w:val="28"/>
        </w:rPr>
        <w:t xml:space="preserve">      </w:t>
      </w:r>
      <w:r w:rsidRPr="005650D2">
        <w:rPr>
          <w:sz w:val="28"/>
          <w:szCs w:val="28"/>
        </w:rPr>
        <w:t>T</w:t>
      </w:r>
      <w:r>
        <w:rPr>
          <w:sz w:val="28"/>
          <w:szCs w:val="28"/>
        </w:rPr>
        <w:t>ất cả t</w:t>
      </w:r>
      <w:r w:rsidRPr="005650D2">
        <w:rPr>
          <w:sz w:val="28"/>
          <w:szCs w:val="28"/>
        </w:rPr>
        <w:t xml:space="preserve">ài sản tọa lạc tại </w:t>
      </w:r>
      <w:r w:rsidRPr="00B53032">
        <w:rPr>
          <w:sz w:val="28"/>
          <w:szCs w:val="28"/>
        </w:rPr>
        <w:t>ấp Thạnh Bình, xã Thạnh Trị, huyện Gò Công Tây</w:t>
      </w:r>
      <w:r w:rsidR="00F64CCA">
        <w:rPr>
          <w:sz w:val="28"/>
          <w:szCs w:val="28"/>
        </w:rPr>
        <w:t>, tỉnh Tiền Giang.</w:t>
      </w:r>
    </w:p>
    <w:p w:rsidR="000E4061" w:rsidRDefault="00290DC9" w:rsidP="006A7758">
      <w:pPr>
        <w:spacing w:before="120" w:after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      </w:t>
      </w:r>
      <w:r w:rsidR="00D6718B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   </w:t>
      </w:r>
      <w:r w:rsidR="00CE6A41">
        <w:rPr>
          <w:color w:val="000000"/>
          <w:sz w:val="28"/>
          <w:szCs w:val="28"/>
          <w:lang w:val="nl-NL"/>
        </w:rPr>
        <w:t xml:space="preserve">Vậy, </w:t>
      </w:r>
      <w:r w:rsidR="00BB1B43">
        <w:rPr>
          <w:color w:val="000000"/>
          <w:sz w:val="28"/>
          <w:szCs w:val="28"/>
          <w:lang w:val="nl-NL"/>
        </w:rPr>
        <w:t xml:space="preserve">thông báo để </w:t>
      </w:r>
      <w:r w:rsidR="00BB1B43">
        <w:rPr>
          <w:color w:val="000000"/>
          <w:sz w:val="28"/>
          <w:szCs w:val="28"/>
          <w:lang w:val="vi-VN"/>
        </w:rPr>
        <w:t>các tổ chức thẩm định</w:t>
      </w:r>
      <w:r w:rsidR="00351C29">
        <w:rPr>
          <w:color w:val="000000"/>
          <w:sz w:val="28"/>
          <w:szCs w:val="28"/>
          <w:lang w:val="vi-VN"/>
        </w:rPr>
        <w:t xml:space="preserve"> giá trên địa bàn tỉnh </w:t>
      </w:r>
      <w:r w:rsidR="00351C29">
        <w:rPr>
          <w:color w:val="000000"/>
          <w:sz w:val="28"/>
          <w:szCs w:val="28"/>
        </w:rPr>
        <w:t xml:space="preserve">Tiền Giang </w:t>
      </w:r>
      <w:r w:rsidR="00BB1B43">
        <w:rPr>
          <w:color w:val="000000"/>
          <w:sz w:val="28"/>
          <w:szCs w:val="28"/>
          <w:lang w:val="nl-NL"/>
        </w:rPr>
        <w:t>biết</w:t>
      </w:r>
      <w:r w:rsidR="00BB1B43">
        <w:rPr>
          <w:color w:val="000000"/>
          <w:sz w:val="28"/>
          <w:szCs w:val="28"/>
          <w:lang w:val="vi-VN"/>
        </w:rPr>
        <w:t>, đăng ký.</w:t>
      </w:r>
    </w:p>
    <w:p w:rsidR="000E4061" w:rsidRDefault="00D6718B" w:rsidP="004D214E">
      <w:pPr>
        <w:spacing w:before="120" w:after="120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 </w:t>
      </w:r>
      <w:r w:rsidR="00BB1B43">
        <w:rPr>
          <w:b/>
          <w:color w:val="000000"/>
          <w:sz w:val="28"/>
          <w:szCs w:val="28"/>
          <w:lang w:val="vi-VN"/>
        </w:rPr>
        <w:t>Hồ sơ đăng ký bao gồm:</w:t>
      </w:r>
    </w:p>
    <w:p w:rsidR="002553DB" w:rsidRDefault="002553DB" w:rsidP="002553DB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Văn bản đăng ký tham gia cung cấp dịch vụ thẩm định giá.</w:t>
      </w:r>
    </w:p>
    <w:p w:rsidR="002553DB" w:rsidRPr="002553DB" w:rsidRDefault="002553DB" w:rsidP="002553DB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Hồ sơ năng lực gồm (Giấy </w:t>
      </w:r>
      <w:r w:rsidR="004542D4">
        <w:rPr>
          <w:color w:val="000000"/>
          <w:sz w:val="28"/>
          <w:szCs w:val="28"/>
          <w:lang w:val="nl-NL"/>
        </w:rPr>
        <w:t>chứng nhận đăng ký doanh nghiệp;</w:t>
      </w:r>
      <w:r>
        <w:rPr>
          <w:color w:val="000000"/>
          <w:sz w:val="28"/>
          <w:szCs w:val="28"/>
          <w:lang w:val="nl-NL"/>
        </w:rPr>
        <w:t xml:space="preserve"> Giấy chứng nhận đủ điều kiện kinh doanh</w:t>
      </w:r>
      <w:r w:rsidR="001E76E8">
        <w:rPr>
          <w:color w:val="000000"/>
          <w:sz w:val="28"/>
          <w:szCs w:val="28"/>
          <w:lang w:val="nl-NL"/>
        </w:rPr>
        <w:t>;</w:t>
      </w:r>
      <w:r w:rsidR="004542D4">
        <w:rPr>
          <w:color w:val="000000"/>
          <w:sz w:val="28"/>
          <w:szCs w:val="28"/>
          <w:lang w:val="nl-NL"/>
        </w:rPr>
        <w:t xml:space="preserve"> dịch vụ thẩm định giá, dịch vụ công ty cung cấp; mô hình; quy trình thực hiện</w:t>
      </w:r>
      <w:r w:rsidR="001E76E8">
        <w:rPr>
          <w:color w:val="000000"/>
          <w:sz w:val="28"/>
          <w:szCs w:val="28"/>
          <w:lang w:val="nl-NL"/>
        </w:rPr>
        <w:t>; nhân sự; giấy tờ pháp lý; dự án tiêu biểu...) và các giấy tờ khác có liên quan.</w:t>
      </w:r>
    </w:p>
    <w:p w:rsidR="000E4061" w:rsidRPr="001E76E8" w:rsidRDefault="00BB1B43" w:rsidP="004D214E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 w:rsidR="001E76E8">
        <w:rPr>
          <w:color w:val="000000"/>
          <w:sz w:val="28"/>
          <w:szCs w:val="28"/>
          <w:lang w:val="vi-VN"/>
        </w:rPr>
        <w:t xml:space="preserve"> từ ngày </w:t>
      </w:r>
      <w:r w:rsidR="0074219B">
        <w:rPr>
          <w:color w:val="000000"/>
          <w:sz w:val="28"/>
          <w:szCs w:val="28"/>
        </w:rPr>
        <w:t>18</w:t>
      </w:r>
      <w:r w:rsidR="001E76E8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 w:rsidR="001E76E8">
        <w:rPr>
          <w:color w:val="000000"/>
          <w:sz w:val="28"/>
          <w:szCs w:val="28"/>
        </w:rPr>
        <w:t xml:space="preserve"> </w:t>
      </w:r>
      <w:r w:rsidR="0074219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  <w:lang w:val="vi-VN"/>
        </w:rPr>
        <w:t xml:space="preserve"> năm</w:t>
      </w:r>
      <w:r w:rsidR="001E76E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 w:rsidR="001E76E8">
        <w:rPr>
          <w:color w:val="000000"/>
          <w:sz w:val="28"/>
          <w:szCs w:val="28"/>
        </w:rPr>
        <w:t xml:space="preserve"> </w:t>
      </w:r>
      <w:r w:rsidR="0074219B">
        <w:rPr>
          <w:color w:val="000000"/>
          <w:sz w:val="28"/>
          <w:szCs w:val="28"/>
        </w:rPr>
        <w:t>19</w:t>
      </w:r>
      <w:r w:rsidR="001E76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 w:rsidR="001E76E8">
        <w:rPr>
          <w:color w:val="000000"/>
          <w:sz w:val="28"/>
          <w:szCs w:val="28"/>
        </w:rPr>
        <w:t xml:space="preserve"> </w:t>
      </w:r>
      <w:r w:rsidR="0074219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  <w:lang w:val="vi-VN"/>
        </w:rPr>
        <w:t xml:space="preserve"> năm</w:t>
      </w:r>
      <w:r w:rsidR="001E76E8">
        <w:rPr>
          <w:color w:val="000000"/>
          <w:sz w:val="28"/>
          <w:szCs w:val="28"/>
        </w:rPr>
        <w:t xml:space="preserve"> 2024.</w:t>
      </w:r>
    </w:p>
    <w:p w:rsidR="000E4061" w:rsidRDefault="00BB1B43" w:rsidP="004D214E">
      <w:pPr>
        <w:spacing w:before="120"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1E76E8">
        <w:rPr>
          <w:color w:val="000000"/>
          <w:sz w:val="28"/>
          <w:szCs w:val="28"/>
        </w:rPr>
        <w:t>nộp hồ sơ trực tiếp tại Chi cục Thi hành án dân sự huyện Gò Công Tây, tỉnh Tiền Giang</w:t>
      </w:r>
      <w:r w:rsidR="00FF504E">
        <w:rPr>
          <w:color w:val="000000"/>
          <w:sz w:val="28"/>
          <w:szCs w:val="28"/>
          <w:lang w:val="vi-VN"/>
        </w:rPr>
        <w:t>.</w:t>
      </w:r>
    </w:p>
    <w:p w:rsidR="000E4061" w:rsidRPr="001E76E8" w:rsidRDefault="00BB1B43" w:rsidP="004D214E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="001E76E8">
        <w:rPr>
          <w:color w:val="000000"/>
          <w:sz w:val="28"/>
          <w:szCs w:val="28"/>
          <w:lang w:val="nl-NL"/>
        </w:rPr>
        <w:t>đường Nguyễn Văn Côn, khu phố 4, thị trấn Vĩnh Bình, huyện Gò Công Tây, tỉnh Tiền Giang</w:t>
      </w:r>
      <w:r>
        <w:rPr>
          <w:color w:val="000000"/>
          <w:sz w:val="28"/>
          <w:szCs w:val="28"/>
          <w:lang w:val="vi-VN"/>
        </w:rPr>
        <w:t>.</w:t>
      </w:r>
      <w:r w:rsidR="001E76E8">
        <w:rPr>
          <w:color w:val="000000"/>
          <w:sz w:val="28"/>
          <w:szCs w:val="28"/>
        </w:rPr>
        <w:t>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543317" w:rsidTr="0074450F">
        <w:tc>
          <w:tcPr>
            <w:tcW w:w="4646" w:type="dxa"/>
          </w:tcPr>
          <w:p w:rsidR="000E4061" w:rsidRDefault="00BB1B43" w:rsidP="00E0321E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0E4061" w:rsidRPr="001E76E8" w:rsidRDefault="00BB1B43" w:rsidP="00E0321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- Trang thông tin điện tử Cục THADS</w:t>
            </w:r>
            <w:r w:rsidR="001E76E8">
              <w:rPr>
                <w:color w:val="000000"/>
              </w:rPr>
              <w:t xml:space="preserve"> tỉnh Tiền Giang;</w:t>
            </w:r>
          </w:p>
          <w:p w:rsidR="000E4061" w:rsidRDefault="00BB1B43" w:rsidP="00E0321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0E4061" w:rsidRDefault="00BB1B43" w:rsidP="00E0321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 w:rsidR="009A58E1"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1E76E8">
              <w:rPr>
                <w:color w:val="000000"/>
                <w:sz w:val="22"/>
                <w:szCs w:val="22"/>
                <w:lang w:val="nl-NL"/>
              </w:rPr>
              <w:t xml:space="preserve"> huyện Gò Công Tây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0E4061" w:rsidRDefault="00BB1B43" w:rsidP="00E0321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2" w:type="dxa"/>
          </w:tcPr>
          <w:p w:rsidR="00C21DAA" w:rsidRDefault="00BB1B43" w:rsidP="0074450F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C21DAA" w:rsidRPr="00C21DAA" w:rsidRDefault="00C21DAA" w:rsidP="00C21DAA">
            <w:pPr>
              <w:rPr>
                <w:sz w:val="28"/>
                <w:szCs w:val="28"/>
                <w:lang w:val="nl-NL"/>
              </w:rPr>
            </w:pPr>
          </w:p>
          <w:p w:rsidR="00C21DAA" w:rsidRDefault="00C21DAA" w:rsidP="00C21DAA">
            <w:pPr>
              <w:rPr>
                <w:sz w:val="28"/>
                <w:szCs w:val="28"/>
                <w:lang w:val="nl-NL"/>
              </w:rPr>
            </w:pPr>
          </w:p>
          <w:p w:rsidR="000E4061" w:rsidRPr="00C21DAA" w:rsidRDefault="00347264" w:rsidP="00C21DA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(Đã ký)</w:t>
            </w:r>
          </w:p>
        </w:tc>
      </w:tr>
    </w:tbl>
    <w:p w:rsidR="001E76E8" w:rsidRDefault="001E76E8"/>
    <w:p w:rsidR="00543317" w:rsidRPr="001E76E8" w:rsidRDefault="001E76E8" w:rsidP="001E76E8">
      <w:pPr>
        <w:tabs>
          <w:tab w:val="left" w:pos="745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F64CCA">
        <w:t xml:space="preserve"> </w:t>
      </w:r>
      <w:r>
        <w:t xml:space="preserve">  </w:t>
      </w:r>
      <w:r w:rsidRPr="001E76E8">
        <w:rPr>
          <w:b/>
          <w:sz w:val="28"/>
          <w:szCs w:val="28"/>
        </w:rPr>
        <w:t>Võ Anh Phương</w:t>
      </w:r>
    </w:p>
    <w:sectPr w:rsidR="00543317" w:rsidRPr="001E76E8" w:rsidSect="00F64CCA">
      <w:pgSz w:w="11907" w:h="16840" w:code="9"/>
      <w:pgMar w:top="426" w:right="1134" w:bottom="568" w:left="1701" w:header="720" w:footer="720" w:gutter="0"/>
      <w:pgNumType w:start="1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3172"/>
    <w:multiLevelType w:val="hybridMultilevel"/>
    <w:tmpl w:val="51907B1A"/>
    <w:lvl w:ilvl="0" w:tplc="83A6F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EC8756" w:tentative="1">
      <w:start w:val="1"/>
      <w:numFmt w:val="lowerLetter"/>
      <w:lvlText w:val="%2."/>
      <w:lvlJc w:val="left"/>
      <w:pPr>
        <w:ind w:left="1800" w:hanging="360"/>
      </w:pPr>
    </w:lvl>
    <w:lvl w:ilvl="2" w:tplc="84B44E16" w:tentative="1">
      <w:start w:val="1"/>
      <w:numFmt w:val="lowerRoman"/>
      <w:lvlText w:val="%3."/>
      <w:lvlJc w:val="right"/>
      <w:pPr>
        <w:ind w:left="2520" w:hanging="180"/>
      </w:pPr>
    </w:lvl>
    <w:lvl w:ilvl="3" w:tplc="199019FE" w:tentative="1">
      <w:start w:val="1"/>
      <w:numFmt w:val="decimal"/>
      <w:lvlText w:val="%4."/>
      <w:lvlJc w:val="left"/>
      <w:pPr>
        <w:ind w:left="3240" w:hanging="360"/>
      </w:pPr>
    </w:lvl>
    <w:lvl w:ilvl="4" w:tplc="9AFE920A" w:tentative="1">
      <w:start w:val="1"/>
      <w:numFmt w:val="lowerLetter"/>
      <w:lvlText w:val="%5."/>
      <w:lvlJc w:val="left"/>
      <w:pPr>
        <w:ind w:left="3960" w:hanging="360"/>
      </w:pPr>
    </w:lvl>
    <w:lvl w:ilvl="5" w:tplc="07EA1E20" w:tentative="1">
      <w:start w:val="1"/>
      <w:numFmt w:val="lowerRoman"/>
      <w:lvlText w:val="%6."/>
      <w:lvlJc w:val="right"/>
      <w:pPr>
        <w:ind w:left="4680" w:hanging="180"/>
      </w:pPr>
    </w:lvl>
    <w:lvl w:ilvl="6" w:tplc="FF48FB5C" w:tentative="1">
      <w:start w:val="1"/>
      <w:numFmt w:val="decimal"/>
      <w:lvlText w:val="%7."/>
      <w:lvlJc w:val="left"/>
      <w:pPr>
        <w:ind w:left="5400" w:hanging="360"/>
      </w:pPr>
    </w:lvl>
    <w:lvl w:ilvl="7" w:tplc="9864B1F4" w:tentative="1">
      <w:start w:val="1"/>
      <w:numFmt w:val="lowerLetter"/>
      <w:lvlText w:val="%8."/>
      <w:lvlJc w:val="left"/>
      <w:pPr>
        <w:ind w:left="6120" w:hanging="360"/>
      </w:pPr>
    </w:lvl>
    <w:lvl w:ilvl="8" w:tplc="76D40A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90E0645C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7F52F7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2A54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B8A8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143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9255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447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4017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5476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7779EF"/>
    <w:multiLevelType w:val="hybridMultilevel"/>
    <w:tmpl w:val="54F25D00"/>
    <w:lvl w:ilvl="0" w:tplc="98162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9567F"/>
    <w:multiLevelType w:val="hybridMultilevel"/>
    <w:tmpl w:val="5DDEA838"/>
    <w:lvl w:ilvl="0" w:tplc="E234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1E5012" w:tentative="1">
      <w:start w:val="1"/>
      <w:numFmt w:val="lowerLetter"/>
      <w:lvlText w:val="%2."/>
      <w:lvlJc w:val="left"/>
      <w:pPr>
        <w:ind w:left="1800" w:hanging="360"/>
      </w:pPr>
    </w:lvl>
    <w:lvl w:ilvl="2" w:tplc="22FC6E62" w:tentative="1">
      <w:start w:val="1"/>
      <w:numFmt w:val="lowerRoman"/>
      <w:lvlText w:val="%3."/>
      <w:lvlJc w:val="right"/>
      <w:pPr>
        <w:ind w:left="2520" w:hanging="180"/>
      </w:pPr>
    </w:lvl>
    <w:lvl w:ilvl="3" w:tplc="1E34F16A" w:tentative="1">
      <w:start w:val="1"/>
      <w:numFmt w:val="decimal"/>
      <w:lvlText w:val="%4."/>
      <w:lvlJc w:val="left"/>
      <w:pPr>
        <w:ind w:left="3240" w:hanging="360"/>
      </w:pPr>
    </w:lvl>
    <w:lvl w:ilvl="4" w:tplc="0226AF96" w:tentative="1">
      <w:start w:val="1"/>
      <w:numFmt w:val="lowerLetter"/>
      <w:lvlText w:val="%5."/>
      <w:lvlJc w:val="left"/>
      <w:pPr>
        <w:ind w:left="3960" w:hanging="360"/>
      </w:pPr>
    </w:lvl>
    <w:lvl w:ilvl="5" w:tplc="9B1C1184" w:tentative="1">
      <w:start w:val="1"/>
      <w:numFmt w:val="lowerRoman"/>
      <w:lvlText w:val="%6."/>
      <w:lvlJc w:val="right"/>
      <w:pPr>
        <w:ind w:left="4680" w:hanging="180"/>
      </w:pPr>
    </w:lvl>
    <w:lvl w:ilvl="6" w:tplc="49FA4A7E" w:tentative="1">
      <w:start w:val="1"/>
      <w:numFmt w:val="decimal"/>
      <w:lvlText w:val="%7."/>
      <w:lvlJc w:val="left"/>
      <w:pPr>
        <w:ind w:left="5400" w:hanging="360"/>
      </w:pPr>
    </w:lvl>
    <w:lvl w:ilvl="7" w:tplc="4C024F8A" w:tentative="1">
      <w:start w:val="1"/>
      <w:numFmt w:val="lowerLetter"/>
      <w:lvlText w:val="%8."/>
      <w:lvlJc w:val="left"/>
      <w:pPr>
        <w:ind w:left="6120" w:hanging="360"/>
      </w:pPr>
    </w:lvl>
    <w:lvl w:ilvl="8" w:tplc="B44091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85E87"/>
    <w:multiLevelType w:val="hybridMultilevel"/>
    <w:tmpl w:val="41A0E430"/>
    <w:lvl w:ilvl="0" w:tplc="BA388E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10"/>
    <w:rsid w:val="00037901"/>
    <w:rsid w:val="000431D5"/>
    <w:rsid w:val="00054107"/>
    <w:rsid w:val="000677A3"/>
    <w:rsid w:val="00094937"/>
    <w:rsid w:val="000B60C6"/>
    <w:rsid w:val="000D1ADC"/>
    <w:rsid w:val="000D2284"/>
    <w:rsid w:val="000E4061"/>
    <w:rsid w:val="00132163"/>
    <w:rsid w:val="00135467"/>
    <w:rsid w:val="00165129"/>
    <w:rsid w:val="001D02A8"/>
    <w:rsid w:val="001D54C7"/>
    <w:rsid w:val="001E0DB6"/>
    <w:rsid w:val="001E76E8"/>
    <w:rsid w:val="00205557"/>
    <w:rsid w:val="002065BC"/>
    <w:rsid w:val="00237D68"/>
    <w:rsid w:val="00241929"/>
    <w:rsid w:val="002472CE"/>
    <w:rsid w:val="002553DB"/>
    <w:rsid w:val="00263F3E"/>
    <w:rsid w:val="00267695"/>
    <w:rsid w:val="00290DC9"/>
    <w:rsid w:val="002A160C"/>
    <w:rsid w:val="002C5E34"/>
    <w:rsid w:val="002D02F9"/>
    <w:rsid w:val="002D17FE"/>
    <w:rsid w:val="002D6369"/>
    <w:rsid w:val="003159F9"/>
    <w:rsid w:val="00347264"/>
    <w:rsid w:val="00351C29"/>
    <w:rsid w:val="00362334"/>
    <w:rsid w:val="0036524A"/>
    <w:rsid w:val="00385680"/>
    <w:rsid w:val="00392632"/>
    <w:rsid w:val="003937C0"/>
    <w:rsid w:val="003D6536"/>
    <w:rsid w:val="003E46AA"/>
    <w:rsid w:val="003F2DE2"/>
    <w:rsid w:val="00404100"/>
    <w:rsid w:val="00406BF5"/>
    <w:rsid w:val="004466A6"/>
    <w:rsid w:val="004542D4"/>
    <w:rsid w:val="004718EA"/>
    <w:rsid w:val="00482A58"/>
    <w:rsid w:val="004A595F"/>
    <w:rsid w:val="004D180A"/>
    <w:rsid w:val="004D214E"/>
    <w:rsid w:val="005242C1"/>
    <w:rsid w:val="0053123A"/>
    <w:rsid w:val="00543317"/>
    <w:rsid w:val="005435CC"/>
    <w:rsid w:val="00556AF5"/>
    <w:rsid w:val="00566511"/>
    <w:rsid w:val="00572861"/>
    <w:rsid w:val="005A03A3"/>
    <w:rsid w:val="005F3B93"/>
    <w:rsid w:val="005F3CC3"/>
    <w:rsid w:val="005F7E0E"/>
    <w:rsid w:val="00684997"/>
    <w:rsid w:val="00696E34"/>
    <w:rsid w:val="006A5E24"/>
    <w:rsid w:val="006A7758"/>
    <w:rsid w:val="006B4D19"/>
    <w:rsid w:val="006B611D"/>
    <w:rsid w:val="006C3660"/>
    <w:rsid w:val="006C6629"/>
    <w:rsid w:val="006E0444"/>
    <w:rsid w:val="006F56A0"/>
    <w:rsid w:val="00725FF6"/>
    <w:rsid w:val="00726488"/>
    <w:rsid w:val="0074219B"/>
    <w:rsid w:val="0074450F"/>
    <w:rsid w:val="00760D6A"/>
    <w:rsid w:val="007763DA"/>
    <w:rsid w:val="007A168E"/>
    <w:rsid w:val="007E5759"/>
    <w:rsid w:val="007F1E82"/>
    <w:rsid w:val="007F7110"/>
    <w:rsid w:val="008952B4"/>
    <w:rsid w:val="008E1F73"/>
    <w:rsid w:val="009023AD"/>
    <w:rsid w:val="00922A5D"/>
    <w:rsid w:val="009374AC"/>
    <w:rsid w:val="00956391"/>
    <w:rsid w:val="009640E8"/>
    <w:rsid w:val="009739B7"/>
    <w:rsid w:val="00991A3F"/>
    <w:rsid w:val="009960EE"/>
    <w:rsid w:val="009A58E1"/>
    <w:rsid w:val="009E5A5E"/>
    <w:rsid w:val="00A06867"/>
    <w:rsid w:val="00A34EB0"/>
    <w:rsid w:val="00A43C66"/>
    <w:rsid w:val="00A44622"/>
    <w:rsid w:val="00A51D7B"/>
    <w:rsid w:val="00A62372"/>
    <w:rsid w:val="00A62CDB"/>
    <w:rsid w:val="00A90FE9"/>
    <w:rsid w:val="00A9472C"/>
    <w:rsid w:val="00AA2846"/>
    <w:rsid w:val="00AB3E44"/>
    <w:rsid w:val="00AB500D"/>
    <w:rsid w:val="00AD7CBD"/>
    <w:rsid w:val="00B10C2E"/>
    <w:rsid w:val="00B20C3F"/>
    <w:rsid w:val="00B275B2"/>
    <w:rsid w:val="00B30CE7"/>
    <w:rsid w:val="00B33861"/>
    <w:rsid w:val="00BB1B43"/>
    <w:rsid w:val="00BB49C5"/>
    <w:rsid w:val="00BE43B0"/>
    <w:rsid w:val="00C17F65"/>
    <w:rsid w:val="00C21DAA"/>
    <w:rsid w:val="00C6241F"/>
    <w:rsid w:val="00C63BA0"/>
    <w:rsid w:val="00C65770"/>
    <w:rsid w:val="00C85727"/>
    <w:rsid w:val="00CE48CB"/>
    <w:rsid w:val="00CE6A41"/>
    <w:rsid w:val="00D265FC"/>
    <w:rsid w:val="00D604DF"/>
    <w:rsid w:val="00D614AC"/>
    <w:rsid w:val="00D6718B"/>
    <w:rsid w:val="00D9564B"/>
    <w:rsid w:val="00DA6608"/>
    <w:rsid w:val="00DB24F2"/>
    <w:rsid w:val="00DB735B"/>
    <w:rsid w:val="00DF179D"/>
    <w:rsid w:val="00DF62A6"/>
    <w:rsid w:val="00E004FE"/>
    <w:rsid w:val="00E0321E"/>
    <w:rsid w:val="00E0339B"/>
    <w:rsid w:val="00E22F7D"/>
    <w:rsid w:val="00E33B6F"/>
    <w:rsid w:val="00E36E7B"/>
    <w:rsid w:val="00E45ACC"/>
    <w:rsid w:val="00E568E5"/>
    <w:rsid w:val="00E56B90"/>
    <w:rsid w:val="00EA7D23"/>
    <w:rsid w:val="00EC2F7E"/>
    <w:rsid w:val="00EE6CE0"/>
    <w:rsid w:val="00F01E09"/>
    <w:rsid w:val="00F040AC"/>
    <w:rsid w:val="00F044F6"/>
    <w:rsid w:val="00F229C3"/>
    <w:rsid w:val="00F2319F"/>
    <w:rsid w:val="00F30208"/>
    <w:rsid w:val="00F33D8A"/>
    <w:rsid w:val="00F363AA"/>
    <w:rsid w:val="00F64CCA"/>
    <w:rsid w:val="00F926BC"/>
    <w:rsid w:val="00FA2BCB"/>
    <w:rsid w:val="00FD4EFC"/>
    <w:rsid w:val="00FE1D9B"/>
    <w:rsid w:val="00FE579A"/>
    <w:rsid w:val="00FF504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7C1F5-669F-46C8-97C0-3508EABDA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A8A3A-ECC2-4655-977A-78C665CF47BF}"/>
</file>

<file path=customXml/itemProps3.xml><?xml version="1.0" encoding="utf-8"?>
<ds:datastoreItem xmlns:ds="http://schemas.openxmlformats.org/officeDocument/2006/customXml" ds:itemID="{3D0C983B-DCB6-4EE3-AAE5-9B5EE7684106}"/>
</file>

<file path=customXml/itemProps4.xml><?xml version="1.0" encoding="utf-8"?>
<ds:datastoreItem xmlns:ds="http://schemas.openxmlformats.org/officeDocument/2006/customXml" ds:itemID="{A70081EA-3887-451B-97F3-3CBD1E8EB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D 01-THA</vt:lpstr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D 01-THA</dc:title>
  <dc:creator>txt</dc:creator>
  <cp:lastModifiedBy>AutoBVT</cp:lastModifiedBy>
  <cp:revision>2</cp:revision>
  <cp:lastPrinted>2024-12-18T00:39:00Z</cp:lastPrinted>
  <dcterms:created xsi:type="dcterms:W3CDTF">2024-12-18T00:40:00Z</dcterms:created>
  <dcterms:modified xsi:type="dcterms:W3CDTF">2024-12-18T00:40:00Z</dcterms:modified>
</cp:coreProperties>
</file>